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6" w:space="6"/>
          <w:right w:val="none" w:color="auto" w:sz="0" w:space="0"/>
        </w:pBdr>
        <w:spacing w:before="0" w:beforeAutospacing="0" w:after="9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【设计方案】怎么保持路面反光标线持续逆反射性能</w:t>
      </w:r>
    </w:p>
    <w:p>
      <w:pPr>
        <w:keepNext w:val="0"/>
        <w:keepLines w:val="0"/>
        <w:widowControl/>
        <w:suppressLineNumbers w:val="0"/>
        <w:ind w:firstLine="540" w:firstLineChars="200"/>
        <w:jc w:val="left"/>
      </w:pPr>
      <w:r>
        <w:rPr>
          <w:rFonts w:ascii="Helvetica Neue" w:hAnsi="Helvetica Neue" w:eastAsia="Helvetica Neue" w:cs="Helvetica Neue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近期，路面反光标线持续逆反问题天天在头条，每一条路施划的路面反光标线，提到最多的就是持续反光性能，怎么去保证持续逆反，怎么控制持续逆反，最简单，最实用，最有效的办法，就是逆反射系数跟踪测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 w:firstLine="540" w:firstLineChars="20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国家标准GB/T16311《道路交通标线质量要求和检测方法》规定，道路交通标线使用期间逆反射系数RL：白色标线RL不低于80mcd，黄色标线RL不低于50mcd。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lang w:val="en-US"/>
        </w:rPr>
        <w:t>JTG F80-2017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《公路工程质量检验评定标准》是上位标准，属于国家强制性行业标准，交竣工验收以此标准为依据，“适用于各等级公路新建、改扩建工程施工质量的检验评定和验收”。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本标准作为公路工程质量的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限值标准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，注意到了与相关设计施工规范的协调一致，但仍可能存在某些不一致的情况。出现这种情况时一般应以本标准为准执行。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明确了“《检评标准》是公路工程施工质量的最低限值标准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，公路工程施工质量检验评定和验收应以本标准为准。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（注：GB/T16311在它面前也得让位）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2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48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反光标线交工验收分为四个等级（根据设计）：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681345" cy="3531870"/>
            <wp:effectExtent l="0" t="0" r="1460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531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br w:type="textWrapping"/>
      </w: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建议路面反光标线实施设计方案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Helvetica Neue" w:hAnsi="Helvetica Neue" w:eastAsia="Helvetica Neue" w:cs="Helvetica Neue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（白色反光标线）：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1级、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初始逆反RL≥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150 mcd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，使用期间反光标线持续逆反RL≥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80mcd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2级、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初始逆反RL≥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250 mcd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，使用期间反光标线持续逆反RL≥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100mcd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3级、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初始逆反RL≥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350mcd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，使用期间反光标线持续逆反RL≥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150mcd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4级、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初始逆反RL≥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450mcd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，使用期间反光标线持续逆反RL≥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200mcd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过程控制：连续跟踪反光标线逆反射系数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27"/>
          <w:szCs w:val="27"/>
          <w:bdr w:val="none" w:color="auto" w:sz="0" w:space="0"/>
        </w:rPr>
        <w:t>杜绝反光标线使用期间出现反光断档问题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初始逆反射系数（施工后）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一个月后逆反射系数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3、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三个月后逆反射系数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4、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个月后逆反射系数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5、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个月后逆反射系数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6、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个月后逆反射系数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36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7、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13"/>
          <w:szCs w:val="13"/>
          <w:bdr w:val="none" w:color="auto" w:sz="0" w:space="0"/>
        </w:rPr>
        <w:t> 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个月后逆反射系数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Helvetic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2018-06-19T06:41:22Z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